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5D74C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F63A50F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BBE74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C1431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9D27A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B8288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43598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29986" w14:textId="4F9B7D56" w:rsidR="008C0D7D" w:rsidRPr="00081F2D" w:rsidRDefault="00004732" w:rsidP="00DD3496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Different Conditions</w:t>
      </w:r>
    </w:p>
    <w:p w14:paraId="13B7A8C8" w14:textId="77777777" w:rsidR="008C0D7D" w:rsidRDefault="008C0D7D" w:rsidP="008C0D7D">
      <w:pP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7D2C166" w14:textId="77777777" w:rsidR="008C0D7D" w:rsidRDefault="00004732" w:rsidP="008C0D7D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Student Name </w:t>
      </w:r>
    </w:p>
    <w:p w14:paraId="3B521722" w14:textId="77777777" w:rsidR="008C0D7D" w:rsidRDefault="00004732" w:rsidP="008C0D7D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University</w:t>
      </w:r>
    </w:p>
    <w:p w14:paraId="574E4C37" w14:textId="77777777" w:rsidR="008C0D7D" w:rsidRDefault="00004732" w:rsidP="008C0D7D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Course</w:t>
      </w:r>
    </w:p>
    <w:p w14:paraId="71CEC427" w14:textId="77777777" w:rsidR="008C0D7D" w:rsidRDefault="00004732" w:rsidP="008C0D7D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Professor Name</w:t>
      </w:r>
    </w:p>
    <w:p w14:paraId="2447F4C5" w14:textId="77777777" w:rsidR="008C0D7D" w:rsidRDefault="00004732" w:rsidP="008C0D7D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Date</w:t>
      </w:r>
    </w:p>
    <w:p w14:paraId="3461C3D5" w14:textId="5728CA87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E93BB" w14:textId="25A63BFC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7FE39" w14:textId="4BC0BC14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FC3058" w14:textId="54D77B15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E8814" w14:textId="20774A40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82AB5" w14:textId="063B10BD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FDD1DE" w14:textId="77777777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73205" w14:textId="3FCD2DDD" w:rsidR="00A52C1C" w:rsidRPr="008C0D7D" w:rsidRDefault="00004732" w:rsidP="008C0D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D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Different </w:t>
      </w:r>
      <w:r w:rsidR="008C0D7D" w:rsidRPr="008C0D7D">
        <w:rPr>
          <w:rFonts w:ascii="Times New Roman" w:hAnsi="Times New Roman" w:cs="Times New Roman"/>
          <w:b/>
          <w:sz w:val="24"/>
          <w:szCs w:val="24"/>
        </w:rPr>
        <w:t>C</w:t>
      </w:r>
      <w:r w:rsidRPr="008C0D7D">
        <w:rPr>
          <w:rFonts w:ascii="Times New Roman" w:hAnsi="Times New Roman" w:cs="Times New Roman"/>
          <w:b/>
          <w:sz w:val="24"/>
          <w:szCs w:val="24"/>
        </w:rPr>
        <w:t>onditions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520"/>
        <w:gridCol w:w="4078"/>
        <w:gridCol w:w="3302"/>
      </w:tblGrid>
      <w:tr w:rsidR="00D412B1" w14:paraId="1FDE72B1" w14:textId="77777777" w:rsidTr="00A525B6">
        <w:tc>
          <w:tcPr>
            <w:tcW w:w="2520" w:type="dxa"/>
          </w:tcPr>
          <w:p w14:paraId="7BB6996C" w14:textId="54855394" w:rsidR="004D3CBF" w:rsidRPr="008C0D7D" w:rsidRDefault="00004732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Conditions</w:t>
            </w:r>
          </w:p>
        </w:tc>
        <w:tc>
          <w:tcPr>
            <w:tcW w:w="4078" w:type="dxa"/>
          </w:tcPr>
          <w:p w14:paraId="2728CF9B" w14:textId="01BCB62E" w:rsidR="004D3CBF" w:rsidRPr="008C0D7D" w:rsidRDefault="00004732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</w:t>
            </w:r>
          </w:p>
        </w:tc>
        <w:tc>
          <w:tcPr>
            <w:tcW w:w="3302" w:type="dxa"/>
          </w:tcPr>
          <w:p w14:paraId="63B1322A" w14:textId="04D8773C" w:rsidR="004D3CBF" w:rsidRPr="008C0D7D" w:rsidRDefault="00004732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Diagnostic Test</w:t>
            </w:r>
          </w:p>
        </w:tc>
      </w:tr>
      <w:tr w:rsidR="00D412B1" w14:paraId="2AB58D62" w14:textId="77777777" w:rsidTr="00A525B6">
        <w:tc>
          <w:tcPr>
            <w:tcW w:w="2520" w:type="dxa"/>
          </w:tcPr>
          <w:p w14:paraId="33E2A653" w14:textId="0DBECE90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Kidney stones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. It is a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 kidney condition that results from</w:t>
            </w:r>
            <w:r w:rsidR="0021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collecting</w:t>
            </w:r>
            <w:r w:rsidR="00214771">
              <w:rPr>
                <w:rFonts w:ascii="Times New Roman" w:hAnsi="Times New Roman" w:cs="Times New Roman"/>
                <w:sz w:val="24"/>
                <w:szCs w:val="24"/>
              </w:rPr>
              <w:t xml:space="preserve"> mineral salt composed of calcium or uric acid.</w:t>
            </w:r>
          </w:p>
        </w:tc>
        <w:tc>
          <w:tcPr>
            <w:tcW w:w="4078" w:type="dxa"/>
          </w:tcPr>
          <w:p w14:paraId="19139692" w14:textId="608C9574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assessment of kidney stones involves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the evaluation of the health history and physical examination of the patient. The physical examination consists of assessing for abdominal palpation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 xml:space="preserve"> (Khan et al., 2017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1F841F68" w14:textId="78EE92EB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diagnostic tests for kidney stones </w:t>
            </w:r>
            <w:r w:rsidR="00E91837">
              <w:rPr>
                <w:rFonts w:ascii="Times New Roman" w:hAnsi="Times New Roman" w:cs="Times New Roman"/>
                <w:sz w:val="24"/>
                <w:szCs w:val="24"/>
              </w:rPr>
              <w:t>are urinalysis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 tests used to assess the content of the urine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(Khan et al., 2017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An a</w:t>
            </w:r>
            <w:r w:rsidR="00E91837">
              <w:rPr>
                <w:rFonts w:ascii="Times New Roman" w:hAnsi="Times New Roman" w:cs="Times New Roman"/>
                <w:sz w:val="24"/>
                <w:szCs w:val="24"/>
              </w:rPr>
              <w:t>bdominal X-ray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 shows the location of kidney stones. Computer tomography (CT) scans show</w:t>
            </w:r>
            <w:r w:rsidR="000973AD">
              <w:rPr>
                <w:rFonts w:ascii="Times New Roman" w:hAnsi="Times New Roman" w:cs="Times New Roman"/>
                <w:sz w:val="24"/>
                <w:szCs w:val="24"/>
              </w:rPr>
              <w:t xml:space="preserve"> images of the urinary tract.</w:t>
            </w:r>
            <w:r w:rsidR="00CB5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2B1" w14:paraId="46A6FD1E" w14:textId="77777777" w:rsidTr="00A525B6">
        <w:tc>
          <w:tcPr>
            <w:tcW w:w="2520" w:type="dxa"/>
          </w:tcPr>
          <w:p w14:paraId="11FDAFB6" w14:textId="3FAA0C9C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Appendici</w:t>
            </w: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tis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. It </w:t>
            </w:r>
            <w:r w:rsidR="00A52D32">
              <w:rPr>
                <w:rFonts w:ascii="Times New Roman" w:hAnsi="Times New Roman" w:cs="Times New Roman"/>
                <w:sz w:val="24"/>
                <w:szCs w:val="24"/>
              </w:rPr>
              <w:t xml:space="preserve">is a condition that occurs when the appendix becomes inflamed and filled with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52D32">
              <w:rPr>
                <w:rFonts w:ascii="Times New Roman" w:hAnsi="Times New Roman" w:cs="Times New Roman"/>
                <w:sz w:val="24"/>
                <w:szCs w:val="24"/>
              </w:rPr>
              <w:t>pass.</w:t>
            </w:r>
          </w:p>
        </w:tc>
        <w:tc>
          <w:tcPr>
            <w:tcW w:w="4078" w:type="dxa"/>
          </w:tcPr>
          <w:p w14:paraId="4C4A9B0E" w14:textId="5676E823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examination is one of the most specific assessment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appendicitis. A clinician may apply pressure on the painful part gently. If the pressure is released suddenly, the patient will 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>feel appendicitis pain worse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 thus indicating the changes in the inflamed area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(Poillucci et al., 2020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. Also, the doctor can assess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rigidity of the abdomen and tenderness. Finally,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lower rectum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is also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evaluat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ed. </w:t>
            </w:r>
          </w:p>
        </w:tc>
        <w:tc>
          <w:tcPr>
            <w:tcW w:w="3302" w:type="dxa"/>
          </w:tcPr>
          <w:p w14:paraId="652B3BEE" w14:textId="689C2D6C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Diagnostic test for appendicitis includes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blood test, urine test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imaging test.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A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lood test enables the clinician to assess the levels of white blood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as high numbers show 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infectio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(Poillucci et al., 2020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rine test is carried to check for urinalysis as it can cause pain. Finally, imaging tests help to confirm the presence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appendicitis and find other causes of the pain.</w:t>
            </w:r>
          </w:p>
        </w:tc>
      </w:tr>
      <w:tr w:rsidR="00D412B1" w14:paraId="26F320E7" w14:textId="77777777" w:rsidTr="00A525B6">
        <w:tc>
          <w:tcPr>
            <w:tcW w:w="2520" w:type="dxa"/>
          </w:tcPr>
          <w:p w14:paraId="0F4931B5" w14:textId="5FB13A3F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Gallstone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. It </w:t>
            </w:r>
            <w:r w:rsidR="00A52D32">
              <w:rPr>
                <w:rFonts w:ascii="Times New Roman" w:hAnsi="Times New Roman" w:cs="Times New Roman"/>
                <w:sz w:val="24"/>
                <w:szCs w:val="24"/>
              </w:rPr>
              <w:t>is a condition that results when hard deposits form on the gallbladder.</w:t>
            </w:r>
          </w:p>
        </w:tc>
        <w:tc>
          <w:tcPr>
            <w:tcW w:w="4078" w:type="dxa"/>
          </w:tcPr>
          <w:p w14:paraId="06049D03" w14:textId="1C743562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Physical assessment for patients with gallstones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assesse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the pain </w:t>
            </w:r>
            <w:r w:rsidR="00523C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the upper quadrant, epigastric tenderness, jaundice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guarding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(Lammert, 2017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7A082EAA" w14:textId="37B14429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Imaging tests such as ultrasound are the most common diagnostic tests used in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diagnosis of gallstones. The image reveals gallstones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presence in the organs. Blood tests may also be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to assess signs of infections in organs such as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gallbladder,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iver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pancreas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 xml:space="preserve"> (Lammert, 2017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12B1" w14:paraId="2139F7D9" w14:textId="77777777" w:rsidTr="00A525B6">
        <w:tc>
          <w:tcPr>
            <w:tcW w:w="2520" w:type="dxa"/>
          </w:tcPr>
          <w:p w14:paraId="5841FC2F" w14:textId="368E5156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Constipation</w:t>
            </w:r>
            <w:r w:rsidR="00F22695"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The condition occur</w:t>
            </w:r>
            <w:r w:rsidR="00523C57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="00A52D32">
              <w:rPr>
                <w:rFonts w:ascii="Times New Roman" w:hAnsi="Times New Roman" w:cs="Times New Roman"/>
                <w:sz w:val="24"/>
                <w:szCs w:val="24"/>
              </w:rPr>
              <w:t xml:space="preserve"> a person 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>experiences</w:t>
            </w:r>
            <w:r w:rsidR="00A52D32">
              <w:rPr>
                <w:rFonts w:ascii="Times New Roman" w:hAnsi="Times New Roman" w:cs="Times New Roman"/>
                <w:sz w:val="24"/>
                <w:szCs w:val="24"/>
              </w:rPr>
              <w:t xml:space="preserve"> reduced bowel movements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 xml:space="preserve"> and the stool is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challenging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 xml:space="preserve"> to pass.</w:t>
            </w:r>
          </w:p>
        </w:tc>
        <w:tc>
          <w:tcPr>
            <w:tcW w:w="4078" w:type="dxa"/>
          </w:tcPr>
          <w:p w14:paraId="76746EBD" w14:textId="4BB5EF22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physical assessment </w:t>
            </w:r>
            <w:r w:rsidR="00D65578">
              <w:rPr>
                <w:rFonts w:ascii="Times New Roman" w:hAnsi="Times New Roman" w:cs="Times New Roman"/>
                <w:sz w:val="24"/>
                <w:szCs w:val="24"/>
              </w:rPr>
              <w:t>for constipation involves: first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5578">
              <w:rPr>
                <w:rFonts w:ascii="Times New Roman" w:hAnsi="Times New Roman" w:cs="Times New Roman"/>
                <w:sz w:val="24"/>
                <w:szCs w:val="24"/>
              </w:rPr>
              <w:t xml:space="preserve"> the clinician assesses the abdomen to check for dullness and listen for bowel sounds and papillate </w:t>
            </w:r>
            <w:r w:rsidR="00AD438C">
              <w:rPr>
                <w:rFonts w:ascii="Times New Roman" w:hAnsi="Times New Roman" w:cs="Times New Roman"/>
                <w:sz w:val="24"/>
                <w:szCs w:val="24"/>
              </w:rPr>
              <w:t>for masses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(Stern &amp; Davis, 2016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438C">
              <w:rPr>
                <w:rFonts w:ascii="Times New Roman" w:hAnsi="Times New Roman" w:cs="Times New Roman"/>
                <w:sz w:val="24"/>
                <w:szCs w:val="24"/>
              </w:rPr>
              <w:t xml:space="preserve">. Generally, constipation makes the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stomach</w:t>
            </w:r>
            <w:r w:rsidR="00AD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distended and tender, and the colon's stool</w:t>
            </w:r>
            <w:r w:rsidR="00AD438C">
              <w:rPr>
                <w:rFonts w:ascii="Times New Roman" w:hAnsi="Times New Roman" w:cs="Times New Roman"/>
                <w:sz w:val="24"/>
                <w:szCs w:val="24"/>
              </w:rPr>
              <w:t xml:space="preserve"> causes dullness.</w:t>
            </w:r>
          </w:p>
        </w:tc>
        <w:tc>
          <w:tcPr>
            <w:tcW w:w="3302" w:type="dxa"/>
          </w:tcPr>
          <w:p w14:paraId="0D33DFB8" w14:textId="39DFFF75" w:rsid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of the diagnos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tic test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constipation are Blood test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assess for systemic conditions. An X-ray to determine whether the intestine </w:t>
            </w:r>
            <w:r w:rsidR="008827E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blocked and the presence of fecal matter in the colon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 xml:space="preserve"> (Stern &amp; Davis, 2016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27ED">
              <w:rPr>
                <w:rFonts w:ascii="Times New Roman" w:hAnsi="Times New Roman" w:cs="Times New Roman"/>
                <w:sz w:val="24"/>
                <w:szCs w:val="24"/>
              </w:rPr>
              <w:t xml:space="preserve">Examination of the colon using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827ED">
              <w:rPr>
                <w:rFonts w:ascii="Times New Roman" w:hAnsi="Times New Roman" w:cs="Times New Roman"/>
                <w:sz w:val="24"/>
                <w:szCs w:val="24"/>
              </w:rPr>
              <w:t>flexible camera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27ED">
              <w:rPr>
                <w:rFonts w:ascii="Times New Roman" w:hAnsi="Times New Roman" w:cs="Times New Roman"/>
                <w:sz w:val="24"/>
                <w:szCs w:val="24"/>
              </w:rPr>
              <w:t xml:space="preserve">equipped tube. </w:t>
            </w:r>
          </w:p>
          <w:p w14:paraId="6BC9366E" w14:textId="6FCC5709" w:rsidR="008827ED" w:rsidRPr="004D3CBF" w:rsidRDefault="008827ED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B1" w14:paraId="13159231" w14:textId="77777777" w:rsidTr="00A525B6">
        <w:tc>
          <w:tcPr>
            <w:tcW w:w="2520" w:type="dxa"/>
          </w:tcPr>
          <w:p w14:paraId="47E60A3C" w14:textId="69D7FA1E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Epigastric hernia</w:t>
            </w:r>
            <w:r w:rsidR="00F22695"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>type of hernia that occurs when some part of the intestine pushes an opening on the epigastric region of the abdomen.</w:t>
            </w:r>
          </w:p>
        </w:tc>
        <w:tc>
          <w:tcPr>
            <w:tcW w:w="4078" w:type="dxa"/>
          </w:tcPr>
          <w:p w14:paraId="5F2387CC" w14:textId="1CBD10E6" w:rsidR="004D3CBF" w:rsidRPr="004D3CBF" w:rsidRDefault="00004732" w:rsidP="008C0D7D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physical examination </w:t>
            </w:r>
            <w:r w:rsidR="003A1CDB">
              <w:rPr>
                <w:rFonts w:ascii="Times New Roman" w:hAnsi="Times New Roman" w:cs="Times New Roman"/>
                <w:sz w:val="24"/>
                <w:szCs w:val="24"/>
              </w:rPr>
              <w:t>to check for a bulge in the groin area. The patient is asked to stand and cough</w:t>
            </w:r>
            <w:r w:rsidR="00523C57">
              <w:rPr>
                <w:rFonts w:ascii="Times New Roman" w:hAnsi="Times New Roman" w:cs="Times New Roman"/>
                <w:sz w:val="24"/>
                <w:szCs w:val="24"/>
              </w:rPr>
              <w:t>, making</w:t>
            </w:r>
            <w:r w:rsidR="003A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A1CDB">
              <w:rPr>
                <w:rFonts w:ascii="Times New Roman" w:hAnsi="Times New Roman" w:cs="Times New Roman"/>
                <w:sz w:val="24"/>
                <w:szCs w:val="24"/>
              </w:rPr>
              <w:t>hernia more prominent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(Bedewi &amp; El-sharkawy, 201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3A1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711D7B71" w14:textId="734DC026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diagnostic test for </w:t>
            </w:r>
            <w:r w:rsidR="00D6113C">
              <w:rPr>
                <w:rFonts w:ascii="Times New Roman" w:hAnsi="Times New Roman" w:cs="Times New Roman"/>
                <w:sz w:val="24"/>
                <w:szCs w:val="24"/>
              </w:rPr>
              <w:t xml:space="preserve">epigastric hernia includes CT Scans and MRI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scans</w:t>
            </w:r>
            <w:r w:rsidR="00D6113C">
              <w:rPr>
                <w:rFonts w:ascii="Times New Roman" w:hAnsi="Times New Roman" w:cs="Times New Roman"/>
                <w:sz w:val="24"/>
                <w:szCs w:val="24"/>
              </w:rPr>
              <w:t xml:space="preserve">. The CT scan is used to check for conditions that may cause swelling and pain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D6113C">
              <w:rPr>
                <w:rFonts w:ascii="Times New Roman" w:hAnsi="Times New Roman" w:cs="Times New Roman"/>
                <w:sz w:val="24"/>
                <w:szCs w:val="24"/>
              </w:rPr>
              <w:t xml:space="preserve"> the groin area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(Bedewi &amp; El-sharkawy, 2017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6113C">
              <w:rPr>
                <w:rFonts w:ascii="Times New Roman" w:hAnsi="Times New Roman" w:cs="Times New Roman"/>
                <w:sz w:val="24"/>
                <w:szCs w:val="24"/>
              </w:rPr>
              <w:t>. MRI scan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6113C">
              <w:rPr>
                <w:rFonts w:ascii="Times New Roman" w:hAnsi="Times New Roman" w:cs="Times New Roman"/>
                <w:sz w:val="24"/>
                <w:szCs w:val="24"/>
              </w:rPr>
              <w:t xml:space="preserve"> are used if the pain in the groin region if the pain gets worse.</w:t>
            </w:r>
          </w:p>
        </w:tc>
      </w:tr>
      <w:tr w:rsidR="00D412B1" w14:paraId="43B7D6C3" w14:textId="77777777" w:rsidTr="00A525B6">
        <w:tc>
          <w:tcPr>
            <w:tcW w:w="2520" w:type="dxa"/>
          </w:tcPr>
          <w:p w14:paraId="3D962A42" w14:textId="353E74A5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Pancreatitis</w:t>
            </w:r>
            <w:r w:rsidR="00F22695"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r w:rsidR="00936785">
              <w:rPr>
                <w:rFonts w:ascii="Times New Roman" w:hAnsi="Times New Roman" w:cs="Times New Roman"/>
                <w:sz w:val="24"/>
                <w:szCs w:val="24"/>
              </w:rPr>
              <w:t>is a condition that occurs when the pancreas becomes inflamed and moves next to the small intestine.</w:t>
            </w:r>
          </w:p>
        </w:tc>
        <w:tc>
          <w:tcPr>
            <w:tcW w:w="4078" w:type="dxa"/>
          </w:tcPr>
          <w:p w14:paraId="44DFF241" w14:textId="1C3DFB42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of pancreatitis involve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assessing abdominal pain and family history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 xml:space="preserve"> (Singh et al., 2019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done on the abdomen to show tenderness to </w:t>
            </w:r>
            <w:r w:rsidR="002F6589">
              <w:rPr>
                <w:rFonts w:ascii="Times New Roman" w:hAnsi="Times New Roman" w:cs="Times New Roman"/>
                <w:sz w:val="24"/>
                <w:szCs w:val="24"/>
              </w:rPr>
              <w:t>palpation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signs of peritoneal irritation, rigidity, guarding</w:t>
            </w:r>
            <w:r w:rsidR="002F65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02" w:type="dxa"/>
          </w:tcPr>
          <w:p w14:paraId="5E5D7E01" w14:textId="785E6505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Pancreatitis diagnostic tests are blood tests 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>to asse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s for elevated levels of pancreatic enzymes. Stool tests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 the level of fats that predict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 the digestive system's ability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 to absorb nutrients adequately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 xml:space="preserve"> (Singh et al., 2019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>. CT scan help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 t assess the extent of pancreas inflammation. </w:t>
            </w:r>
          </w:p>
        </w:tc>
      </w:tr>
    </w:tbl>
    <w:p w14:paraId="7EB6CDFA" w14:textId="7E68F5C1" w:rsidR="004D3CBF" w:rsidRDefault="004D3CBF" w:rsidP="008C0D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A8F197" w14:textId="3B48E6BA" w:rsidR="008C0D7D" w:rsidRDefault="008C0D7D" w:rsidP="008C0D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C8423C" w14:textId="77777777" w:rsidR="008C0D7D" w:rsidRPr="004D3CBF" w:rsidRDefault="008C0D7D" w:rsidP="008C0D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32BE27" w14:textId="77777777" w:rsidR="00F22695" w:rsidRPr="00F22695" w:rsidRDefault="00004732" w:rsidP="008C0D7D">
      <w:pPr>
        <w:shd w:val="clear" w:color="auto" w:fill="FFFFFF"/>
        <w:spacing w:after="0" w:line="480" w:lineRule="auto"/>
        <w:ind w:hanging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References</w:t>
      </w:r>
    </w:p>
    <w:p w14:paraId="3DB59C22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Bedewi, M. A., &amp; El-sharkawy, M. (2017). Imaging of hernias.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Hernia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hyperlink r:id="rId6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https://doi.org/10.5772/intechopen.69163</w:t>
        </w:r>
      </w:hyperlink>
    </w:p>
    <w:p w14:paraId="7B33A681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Khan, S. R., Pearle, M. S., Robertson, W. G., Gambaro, G., Canales, B. K., Doizi, S., Tra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xer, O., &amp; Tiselius, H. (2017). Correction: Kidney stones.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Nature Reviews Disease Primers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(1). </w:t>
      </w:r>
      <w:hyperlink r:id="rId7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https://doi.org/10.1038/nrdp.2017.1</w:t>
        </w:r>
      </w:hyperlink>
    </w:p>
    <w:p w14:paraId="0787A11F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Lammert, F. (2017). Gallstone disease: Scientific understanding and fut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ure treatment.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Biliary Disease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, 229-241. </w:t>
      </w:r>
      <w:hyperlink r:id="rId8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https://doi.org/10.1007/978-3-319-50168-0_11</w:t>
        </w:r>
      </w:hyperlink>
    </w:p>
    <w:p w14:paraId="793CD848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Poillucci, G., Podda, M., Gourgiotis, S., &amp; Di Saverio, S. (2020). Appendicitis.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Resources for Optimal Care o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 Emergency Surgery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, 95-102. </w:t>
      </w:r>
      <w:hyperlink r:id="rId9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https://doi.org/10.1007/978-3-030-49363-9_13</w:t>
        </w:r>
      </w:hyperlink>
    </w:p>
    <w:p w14:paraId="2E4240F0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Singh, V. K., Yadav, D., &amp; Garg, P. K. (2019). Diagnosis and management of chronic pancreatitis.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JAMA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322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(24), 2422. </w:t>
      </w:r>
      <w:hyperlink r:id="rId10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https://doi.org/10.1001/jama.2019.19411</w:t>
        </w:r>
      </w:hyperlink>
    </w:p>
    <w:p w14:paraId="3EC1F78D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Stern, T., &amp; Davis, A. M. (2016). Evaluation and treatment of patients with constipation.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JAMA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315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(2), 192. </w:t>
      </w:r>
      <w:hyperlink r:id="rId11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https://doi.org/10.1001/jama.2015.16995</w:t>
        </w:r>
      </w:hyperlink>
    </w:p>
    <w:p w14:paraId="01F3A968" w14:textId="77777777" w:rsidR="004D3CBF" w:rsidRPr="008C0D7D" w:rsidRDefault="004D3CBF" w:rsidP="008C0D7D">
      <w:pPr>
        <w:spacing w:line="48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4D3CBF" w:rsidRPr="008C0D7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2976F" w14:textId="77777777" w:rsidR="00004732" w:rsidRDefault="00004732">
      <w:pPr>
        <w:spacing w:after="0" w:line="240" w:lineRule="auto"/>
      </w:pPr>
      <w:r>
        <w:separator/>
      </w:r>
    </w:p>
  </w:endnote>
  <w:endnote w:type="continuationSeparator" w:id="0">
    <w:p w14:paraId="567C1CB8" w14:textId="77777777" w:rsidR="00004732" w:rsidRDefault="0000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B733A" w14:textId="77777777" w:rsidR="00004732" w:rsidRDefault="00004732">
      <w:pPr>
        <w:spacing w:after="0" w:line="240" w:lineRule="auto"/>
      </w:pPr>
      <w:r>
        <w:separator/>
      </w:r>
    </w:p>
  </w:footnote>
  <w:footnote w:type="continuationSeparator" w:id="0">
    <w:p w14:paraId="6E402A3C" w14:textId="77777777" w:rsidR="00004732" w:rsidRDefault="0000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1714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856FCE" w14:textId="1FAAAD8D" w:rsidR="008C0D7D" w:rsidRPr="008C0D7D" w:rsidRDefault="0000473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0D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0D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D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5C1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C0D7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AA1EED5" w14:textId="77777777" w:rsidR="008C0D7D" w:rsidRDefault="008C0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bEwM7AwtzQ1szBS0lEKTi0uzszPAykwrAUABsF7LiwAAAA="/>
  </w:docVars>
  <w:rsids>
    <w:rsidRoot w:val="004D3CBF"/>
    <w:rsid w:val="00004732"/>
    <w:rsid w:val="00081F2D"/>
    <w:rsid w:val="000973AD"/>
    <w:rsid w:val="000C2ED3"/>
    <w:rsid w:val="001F2828"/>
    <w:rsid w:val="00214771"/>
    <w:rsid w:val="002B79F6"/>
    <w:rsid w:val="002F6589"/>
    <w:rsid w:val="003A1CDB"/>
    <w:rsid w:val="00483720"/>
    <w:rsid w:val="004D3CBF"/>
    <w:rsid w:val="00523C57"/>
    <w:rsid w:val="007077F0"/>
    <w:rsid w:val="007A5C17"/>
    <w:rsid w:val="007C0679"/>
    <w:rsid w:val="008827ED"/>
    <w:rsid w:val="008B2C6D"/>
    <w:rsid w:val="008C0D7D"/>
    <w:rsid w:val="00936785"/>
    <w:rsid w:val="00A525B6"/>
    <w:rsid w:val="00A52C1C"/>
    <w:rsid w:val="00A52D32"/>
    <w:rsid w:val="00AD438C"/>
    <w:rsid w:val="00BA09AF"/>
    <w:rsid w:val="00C86611"/>
    <w:rsid w:val="00CB549D"/>
    <w:rsid w:val="00D412B1"/>
    <w:rsid w:val="00D604FE"/>
    <w:rsid w:val="00D6113C"/>
    <w:rsid w:val="00D65578"/>
    <w:rsid w:val="00D85F78"/>
    <w:rsid w:val="00D95605"/>
    <w:rsid w:val="00DD3496"/>
    <w:rsid w:val="00DF5128"/>
    <w:rsid w:val="00E91837"/>
    <w:rsid w:val="00F2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0D11"/>
  <w15:chartTrackingRefBased/>
  <w15:docId w15:val="{C5123932-E6B6-40E5-98AE-45C83EC1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E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y">
    <w:name w:val="gray"/>
    <w:basedOn w:val="DefaultParagraphFont"/>
    <w:rsid w:val="00F22695"/>
  </w:style>
  <w:style w:type="paragraph" w:styleId="Header">
    <w:name w:val="header"/>
    <w:basedOn w:val="Normal"/>
    <w:link w:val="HeaderChar"/>
    <w:uiPriority w:val="99"/>
    <w:unhideWhenUsed/>
    <w:rsid w:val="008C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D7D"/>
  </w:style>
  <w:style w:type="paragraph" w:styleId="Footer">
    <w:name w:val="footer"/>
    <w:basedOn w:val="Normal"/>
    <w:link w:val="FooterChar"/>
    <w:uiPriority w:val="99"/>
    <w:unhideWhenUsed/>
    <w:rsid w:val="008C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319-50168-0_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nrdp.2017.1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772/intechopen.69163" TargetMode="External"/><Relationship Id="rId11" Type="http://schemas.openxmlformats.org/officeDocument/2006/relationships/hyperlink" Target="https://doi.org/10.1001/jama.2015.1699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1001/jama.2019.194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07/978-3-030-49363-9_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user</cp:lastModifiedBy>
  <cp:revision>2</cp:revision>
  <dcterms:created xsi:type="dcterms:W3CDTF">2021-06-30T20:42:00Z</dcterms:created>
  <dcterms:modified xsi:type="dcterms:W3CDTF">2021-06-30T20:42:00Z</dcterms:modified>
</cp:coreProperties>
</file>